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0B47F" w14:textId="1666467E" w:rsidR="00673C67" w:rsidRPr="000C41C5" w:rsidRDefault="000C41C5">
      <w:pPr>
        <w:rPr>
          <w:b/>
          <w:bCs/>
          <w:sz w:val="28"/>
          <w:szCs w:val="28"/>
        </w:rPr>
      </w:pPr>
      <w:r w:rsidRPr="000C41C5">
        <w:rPr>
          <w:b/>
          <w:bCs/>
          <w:sz w:val="28"/>
          <w:szCs w:val="28"/>
        </w:rPr>
        <w:t>Appendix 1: Prior specification</w:t>
      </w:r>
    </w:p>
    <w:p w14:paraId="78939D7A" w14:textId="77777777" w:rsidR="000C41C5" w:rsidRDefault="000C41C5"/>
    <w:p w14:paraId="32683683" w14:textId="5AFD98E9" w:rsidR="000C41C5" w:rsidRPr="000C41C5" w:rsidRDefault="000C41C5" w:rsidP="0012734E">
      <w:pPr>
        <w:pStyle w:val="Caption"/>
        <w:keepNext/>
        <w:spacing w:after="0"/>
        <w:rPr>
          <w:rFonts w:cstheme="minorHAnsi"/>
          <w:color w:val="auto"/>
          <w:sz w:val="24"/>
          <w:szCs w:val="24"/>
        </w:rPr>
      </w:pPr>
      <w:r w:rsidRPr="000C41C5">
        <w:rPr>
          <w:rFonts w:cstheme="minorHAnsi"/>
          <w:color w:val="auto"/>
          <w:sz w:val="24"/>
          <w:szCs w:val="24"/>
        </w:rPr>
        <w:t>Table S</w:t>
      </w:r>
      <w:r w:rsidRPr="000C41C5">
        <w:rPr>
          <w:rFonts w:cstheme="minorHAnsi"/>
          <w:noProof/>
          <w:color w:val="auto"/>
          <w:sz w:val="24"/>
          <w:szCs w:val="24"/>
        </w:rPr>
        <w:t>1</w:t>
      </w:r>
      <w:r w:rsidRPr="000C41C5">
        <w:rPr>
          <w:rFonts w:cstheme="minorHAnsi"/>
          <w:color w:val="auto"/>
          <w:sz w:val="24"/>
          <w:szCs w:val="24"/>
        </w:rPr>
        <w:t xml:space="preserve">. </w:t>
      </w:r>
      <w:r w:rsidR="0012734E">
        <w:rPr>
          <w:rFonts w:cstheme="minorHAnsi"/>
          <w:color w:val="auto"/>
          <w:sz w:val="24"/>
          <w:szCs w:val="24"/>
        </w:rPr>
        <w:t xml:space="preserve">Prior specification for parameters in migration model.  </w:t>
      </w:r>
      <w:r w:rsidRPr="000C41C5">
        <w:rPr>
          <w:rFonts w:cstheme="minorHAnsi"/>
          <w:color w:val="auto"/>
          <w:sz w:val="24"/>
          <w:szCs w:val="24"/>
        </w:rPr>
        <w:t xml:space="preserve">Parameter symbols correspond to those in Table </w:t>
      </w:r>
      <w:r w:rsidRPr="000C41C5">
        <w:rPr>
          <w:rFonts w:cstheme="minorHAnsi"/>
          <w:color w:val="auto"/>
          <w:sz w:val="24"/>
          <w:szCs w:val="24"/>
        </w:rPr>
        <w:t>1 in main text of manuscript</w:t>
      </w:r>
      <w:r w:rsidRPr="000C41C5">
        <w:rPr>
          <w:rFonts w:cstheme="minorHAnsi"/>
          <w:color w:val="auto"/>
          <w:sz w:val="24"/>
          <w:szCs w:val="24"/>
        </w:rPr>
        <w:t>.</w:t>
      </w:r>
    </w:p>
    <w:tbl>
      <w:tblPr>
        <w:tblStyle w:val="TableGrid"/>
        <w:tblW w:w="0" w:type="auto"/>
        <w:tblInd w:w="0" w:type="dxa"/>
        <w:tblLook w:val="04A0" w:firstRow="1" w:lastRow="0" w:firstColumn="1" w:lastColumn="0" w:noHBand="0" w:noVBand="1"/>
      </w:tblPr>
      <w:tblGrid>
        <w:gridCol w:w="2880"/>
        <w:gridCol w:w="4675"/>
      </w:tblGrid>
      <w:tr w:rsidR="000C41C5" w:rsidRPr="000C41C5" w14:paraId="4E8769F2" w14:textId="77777777" w:rsidTr="000C41C5">
        <w:tc>
          <w:tcPr>
            <w:tcW w:w="2880" w:type="dxa"/>
            <w:tcBorders>
              <w:top w:val="single" w:sz="4" w:space="0" w:color="auto"/>
              <w:left w:val="single" w:sz="4" w:space="0" w:color="auto"/>
              <w:bottom w:val="single" w:sz="4" w:space="0" w:color="auto"/>
              <w:right w:val="single" w:sz="4" w:space="0" w:color="auto"/>
            </w:tcBorders>
            <w:hideMark/>
          </w:tcPr>
          <w:p w14:paraId="63001B00" w14:textId="77777777" w:rsidR="000C41C5" w:rsidRPr="000C41C5" w:rsidRDefault="000C41C5">
            <w:pPr>
              <w:rPr>
                <w:rFonts w:eastAsiaTheme="minorEastAsia" w:cstheme="minorHAnsi"/>
                <w:b/>
              </w:rPr>
            </w:pPr>
            <w:r w:rsidRPr="000C41C5">
              <w:rPr>
                <w:rFonts w:eastAsiaTheme="minorEastAsia" w:cstheme="minorHAnsi"/>
                <w:b/>
              </w:rPr>
              <w:t>Prior</w:t>
            </w:r>
          </w:p>
        </w:tc>
        <w:tc>
          <w:tcPr>
            <w:tcW w:w="4675" w:type="dxa"/>
            <w:tcBorders>
              <w:top w:val="single" w:sz="4" w:space="0" w:color="auto"/>
              <w:left w:val="single" w:sz="4" w:space="0" w:color="auto"/>
              <w:bottom w:val="single" w:sz="4" w:space="0" w:color="auto"/>
              <w:right w:val="single" w:sz="4" w:space="0" w:color="auto"/>
            </w:tcBorders>
            <w:hideMark/>
          </w:tcPr>
          <w:p w14:paraId="1618BFEB" w14:textId="6243CDFB" w:rsidR="000C41C5" w:rsidRPr="000C41C5" w:rsidRDefault="0012734E">
            <w:pPr>
              <w:rPr>
                <w:rFonts w:eastAsiaTheme="minorEastAsia" w:cstheme="minorHAnsi"/>
                <w:b/>
              </w:rPr>
            </w:pPr>
            <w:r>
              <w:rPr>
                <w:rFonts w:eastAsiaTheme="minorEastAsia" w:cstheme="minorHAnsi"/>
                <w:b/>
              </w:rPr>
              <w:t>Description</w:t>
            </w:r>
          </w:p>
        </w:tc>
      </w:tr>
      <w:tr w:rsidR="000C41C5" w14:paraId="3E47C4E0" w14:textId="77777777" w:rsidTr="000C41C5">
        <w:tc>
          <w:tcPr>
            <w:tcW w:w="2880" w:type="dxa"/>
            <w:tcBorders>
              <w:top w:val="single" w:sz="4" w:space="0" w:color="auto"/>
              <w:left w:val="single" w:sz="4" w:space="0" w:color="auto"/>
              <w:bottom w:val="single" w:sz="4" w:space="0" w:color="auto"/>
              <w:right w:val="single" w:sz="4" w:space="0" w:color="auto"/>
            </w:tcBorders>
            <w:vAlign w:val="center"/>
            <w:hideMark/>
          </w:tcPr>
          <w:p w14:paraId="3BF83F02" w14:textId="59BBD13D" w:rsidR="000C41C5" w:rsidRDefault="0012734E">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σ</m:t>
                    </m:r>
                    <m:ctrlPr>
                      <w:rPr>
                        <w:rFonts w:ascii="Cambria Math" w:hAnsi="Cambria Math" w:cstheme="minorHAnsi"/>
                        <w:bCs/>
                        <w:i/>
                        <w:iCs/>
                      </w:rPr>
                    </m:ctrlPr>
                  </m:e>
                  <m:sub>
                    <m:r>
                      <w:rPr>
                        <w:rFonts w:ascii="Cambria Math" w:hAnsi="Cambria Math" w:cstheme="minorHAnsi"/>
                      </w:rPr>
                      <m:t>process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3D95FE40" w14:textId="6177486C" w:rsidR="000C41C5" w:rsidRDefault="0012734E">
            <w:pPr>
              <w:rPr>
                <w:rFonts w:eastAsiaTheme="minorEastAsia"/>
                <w:bCs/>
              </w:rPr>
            </w:pPr>
            <w:r>
              <w:rPr>
                <w:rFonts w:eastAsiaTheme="minorEastAsia"/>
                <w:bCs/>
              </w:rPr>
              <w:t>Uniform prior on standard deviation process variance in annual regional population growth (measured on log scale)</w:t>
            </w:r>
          </w:p>
        </w:tc>
      </w:tr>
      <w:tr w:rsidR="000C41C5" w14:paraId="2D85D55F"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7E1464D0" w14:textId="11F1E3C2" w:rsidR="000C41C5" w:rsidRDefault="0012734E">
            <w:pPr>
              <w:rPr>
                <w:rFonts w:ascii="Calibri" w:eastAsia="Calibri" w:hAnsi="Calibri" w:cs="Times New Roman"/>
              </w:rPr>
            </w:pP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 Normal(0,</m:t>
              </m:r>
            </m:oMath>
            <w:r>
              <w:rPr>
                <w:rFonts w:ascii="Calibri" w:eastAsia="Calibri" w:hAnsi="Calibri" w:cs="Times New Roman"/>
              </w:rPr>
              <w:t>4)</w:t>
            </w:r>
          </w:p>
        </w:tc>
        <w:tc>
          <w:tcPr>
            <w:tcW w:w="4675" w:type="dxa"/>
            <w:tcBorders>
              <w:top w:val="single" w:sz="4" w:space="0" w:color="auto"/>
              <w:left w:val="single" w:sz="4" w:space="0" w:color="auto"/>
              <w:bottom w:val="single" w:sz="4" w:space="0" w:color="auto"/>
              <w:right w:val="single" w:sz="4" w:space="0" w:color="auto"/>
            </w:tcBorders>
          </w:tcPr>
          <w:p w14:paraId="6F6C6C5B" w14:textId="0934E4CC" w:rsidR="000C41C5" w:rsidRDefault="0012734E">
            <w:pPr>
              <w:rPr>
                <w:rFonts w:eastAsiaTheme="minorEastAsia"/>
                <w:bCs/>
              </w:rPr>
            </w:pPr>
            <w:r>
              <w:rPr>
                <w:rFonts w:eastAsiaTheme="minorEastAsia"/>
                <w:bCs/>
              </w:rPr>
              <w:t>Normal prior on median migration rate from stratum j to migration station s</w:t>
            </w:r>
          </w:p>
        </w:tc>
      </w:tr>
      <w:tr w:rsidR="000C41C5" w14:paraId="4A23AA0C"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6F7695C8" w14:textId="2F45D9B8" w:rsidR="000C41C5" w:rsidRDefault="0012734E">
            <w:pPr>
              <w:rPr>
                <w:rFonts w:eastAsiaTheme="minorEastAsia"/>
              </w:rPr>
            </w:pPr>
            <m:oMathPara>
              <m:oMath>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ρ</m:t>
                    </m:r>
                  </m:sub>
                </m:sSub>
                <m:r>
                  <w:rPr>
                    <w:rFonts w:ascii="Cambria Math" w:eastAsiaTheme="minorEastAsia" w:hAnsi="Cambria Math"/>
                  </w:rPr>
                  <m:t>~Uniform(0,4)</m:t>
                </m:r>
              </m:oMath>
            </m:oMathPara>
          </w:p>
        </w:tc>
        <w:tc>
          <w:tcPr>
            <w:tcW w:w="4675" w:type="dxa"/>
            <w:tcBorders>
              <w:top w:val="single" w:sz="4" w:space="0" w:color="auto"/>
              <w:left w:val="single" w:sz="4" w:space="0" w:color="auto"/>
              <w:bottom w:val="single" w:sz="4" w:space="0" w:color="auto"/>
              <w:right w:val="single" w:sz="4" w:space="0" w:color="auto"/>
            </w:tcBorders>
          </w:tcPr>
          <w:p w14:paraId="11B0E3E6" w14:textId="0BC76E1A" w:rsidR="000C41C5" w:rsidRDefault="0012734E">
            <w:pPr>
              <w:rPr>
                <w:rFonts w:eastAsiaTheme="minorEastAsia"/>
                <w:bCs/>
              </w:rPr>
            </w:pPr>
            <w:r>
              <w:rPr>
                <w:rFonts w:eastAsiaTheme="minorEastAsia"/>
                <w:bCs/>
              </w:rPr>
              <w:t>Uniform prior on standard deviation of year-to-year variation in migration to monitoring stations (measured on log scale)</w:t>
            </w:r>
          </w:p>
        </w:tc>
      </w:tr>
      <w:tr w:rsidR="000C41C5" w14:paraId="6CF32B73"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553F70BD" w14:textId="2DA98EC4" w:rsidR="000C41C5" w:rsidRDefault="0012734E">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µ</m:t>
                    </m:r>
                  </m:e>
                  <m:sub>
                    <m:r>
                      <w:rPr>
                        <w:rFonts w:ascii="Cambria Math" w:hAnsi="Cambria Math" w:cstheme="minorHAnsi"/>
                      </w:rPr>
                      <m:t>s</m:t>
                    </m:r>
                  </m:sub>
                </m:sSub>
                <m:r>
                  <w:rPr>
                    <w:rFonts w:ascii="Cambria Math" w:hAnsi="Cambria Math" w:cstheme="minorHAnsi"/>
                  </w:rPr>
                  <m:t>~Uniform(</m:t>
                </m:r>
                <m:r>
                  <w:rPr>
                    <w:rFonts w:ascii="Cambria Math" w:hAnsi="Cambria Math" w:cstheme="minorHAnsi"/>
                  </w:rPr>
                  <m:t>1</m:t>
                </m:r>
                <m:r>
                  <w:rPr>
                    <w:rFonts w:ascii="Cambria Math" w:hAnsi="Cambria Math" w:cstheme="minorHAnsi"/>
                  </w:rPr>
                  <m:t>,365)</m:t>
                </m:r>
              </m:oMath>
            </m:oMathPara>
          </w:p>
        </w:tc>
        <w:tc>
          <w:tcPr>
            <w:tcW w:w="4675" w:type="dxa"/>
            <w:tcBorders>
              <w:top w:val="single" w:sz="4" w:space="0" w:color="auto"/>
              <w:left w:val="single" w:sz="4" w:space="0" w:color="auto"/>
              <w:bottom w:val="single" w:sz="4" w:space="0" w:color="auto"/>
              <w:right w:val="single" w:sz="4" w:space="0" w:color="auto"/>
            </w:tcBorders>
          </w:tcPr>
          <w:p w14:paraId="7DD4EF74" w14:textId="4AEAFDE8" w:rsidR="000C41C5" w:rsidRDefault="008A3529">
            <w:pPr>
              <w:rPr>
                <w:rFonts w:eastAsiaTheme="minorEastAsia"/>
                <w:bCs/>
              </w:rPr>
            </w:pPr>
            <w:r>
              <w:rPr>
                <w:rFonts w:eastAsiaTheme="minorEastAsia"/>
                <w:bCs/>
              </w:rPr>
              <w:t>Uniform</w:t>
            </w:r>
            <w:r w:rsidR="0012734E">
              <w:rPr>
                <w:rFonts w:eastAsiaTheme="minorEastAsia"/>
                <w:bCs/>
              </w:rPr>
              <w:t xml:space="preserve"> prior on date of peak migration at each monitoring station (measured in days)</w:t>
            </w:r>
          </w:p>
        </w:tc>
      </w:tr>
      <w:tr w:rsidR="000C41C5" w14:paraId="4B11F551"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47D6D3C9" w14:textId="6DF88644" w:rsidR="000C41C5" w:rsidRDefault="0012734E">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σ</m:t>
                    </m:r>
                  </m:e>
                  <m:sub>
                    <m:r>
                      <w:rPr>
                        <w:rFonts w:ascii="Cambria Math" w:hAnsi="Cambria Math" w:cstheme="minorHAnsi"/>
                      </w:rPr>
                      <m:t>s</m:t>
                    </m:r>
                  </m:sub>
                </m:sSub>
                <m:r>
                  <w:rPr>
                    <w:rFonts w:ascii="Cambria Math" w:hAnsi="Cambria Math" w:cstheme="minorHAnsi"/>
                  </w:rPr>
                  <m:t>~ Uniform(0,20)</m:t>
                </m:r>
              </m:oMath>
            </m:oMathPara>
          </w:p>
        </w:tc>
        <w:tc>
          <w:tcPr>
            <w:tcW w:w="4675" w:type="dxa"/>
            <w:tcBorders>
              <w:top w:val="single" w:sz="4" w:space="0" w:color="auto"/>
              <w:left w:val="single" w:sz="4" w:space="0" w:color="auto"/>
              <w:bottom w:val="single" w:sz="4" w:space="0" w:color="auto"/>
              <w:right w:val="single" w:sz="4" w:space="0" w:color="auto"/>
            </w:tcBorders>
          </w:tcPr>
          <w:p w14:paraId="1787AD59" w14:textId="6D51FAC6" w:rsidR="000C41C5" w:rsidRDefault="008A3529">
            <w:pPr>
              <w:rPr>
                <w:rFonts w:eastAsiaTheme="minorEastAsia"/>
                <w:bCs/>
              </w:rPr>
            </w:pPr>
            <w:r>
              <w:rPr>
                <w:rFonts w:eastAsiaTheme="minorEastAsia"/>
                <w:bCs/>
              </w:rPr>
              <w:t xml:space="preserve">Uniform </w:t>
            </w:r>
            <w:r w:rsidR="0012734E">
              <w:rPr>
                <w:rFonts w:eastAsiaTheme="minorEastAsia"/>
                <w:bCs/>
              </w:rPr>
              <w:t>prior on width of migration period (measured in days)</w:t>
            </w:r>
          </w:p>
        </w:tc>
      </w:tr>
      <w:tr w:rsidR="000C41C5" w14:paraId="19F6C3BB"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0AFCF0EE" w14:textId="13E8AC5D" w:rsidR="000C41C5" w:rsidRDefault="008A3529">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ω</m:t>
                    </m:r>
                    <m:ctrlPr>
                      <w:rPr>
                        <w:rFonts w:ascii="Cambria Math" w:hAnsi="Cambria Math" w:cstheme="minorHAnsi"/>
                        <w:bCs/>
                        <w:i/>
                        <w:iCs/>
                      </w:rPr>
                    </m:ctrlPr>
                  </m:e>
                  <m:sub>
                    <m:r>
                      <w:rPr>
                        <w:rFonts w:ascii="Cambria Math" w:hAnsi="Cambria Math" w:cstheme="minorHAnsi"/>
                      </w:rPr>
                      <m:t>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24B39F66" w14:textId="67574300" w:rsidR="000C41C5" w:rsidRDefault="008A3529">
            <w:pPr>
              <w:rPr>
                <w:rFonts w:eastAsiaTheme="minorEastAsia"/>
                <w:bCs/>
              </w:rPr>
            </w:pPr>
            <w:r>
              <w:rPr>
                <w:rFonts w:eastAsiaTheme="minorEastAsia"/>
                <w:bCs/>
              </w:rPr>
              <w:t>Uniform prior on standard deviation of “overdispersion” in daily migration counts at migration monitoring stations (measured on log scale)</w:t>
            </w:r>
          </w:p>
        </w:tc>
      </w:tr>
    </w:tbl>
    <w:p w14:paraId="7B4BD604" w14:textId="77777777" w:rsidR="000C41C5" w:rsidRDefault="000C41C5"/>
    <w:p w14:paraId="1FD38650" w14:textId="77777777" w:rsidR="000C41C5" w:rsidRDefault="000C41C5">
      <w:r>
        <w:br w:type="page"/>
      </w:r>
    </w:p>
    <w:p w14:paraId="6A698D5C" w14:textId="71C4A3F9" w:rsidR="000C41C5" w:rsidRPr="000C41C5" w:rsidRDefault="000C41C5">
      <w:pPr>
        <w:rPr>
          <w:b/>
          <w:bCs/>
          <w:sz w:val="28"/>
          <w:szCs w:val="28"/>
        </w:rPr>
      </w:pPr>
      <w:r w:rsidRPr="000C41C5">
        <w:rPr>
          <w:b/>
          <w:bCs/>
          <w:sz w:val="28"/>
          <w:szCs w:val="28"/>
        </w:rPr>
        <w:lastRenderedPageBreak/>
        <w:t>Appendix 2: Analysis of North American Breeding Bird Survey data</w:t>
      </w:r>
    </w:p>
    <w:p w14:paraId="29104F72" w14:textId="77777777" w:rsidR="000C41C5" w:rsidRDefault="000C41C5"/>
    <w:p w14:paraId="499FB9C3" w14:textId="413663A4" w:rsidR="000C41C5" w:rsidRDefault="000C41C5">
      <w:r>
        <w:t>Strata and locations of routes contributing data to analysis of the North American Breeding Bird Survey (BBS) are illustrated in Figure S2.  In total, Blackpoll Warblers were detected at 226 routes between 2000 and 2018, in 19 analytical strata.</w:t>
      </w:r>
    </w:p>
    <w:p w14:paraId="3B6045C1" w14:textId="0731A6BD" w:rsidR="000C41C5" w:rsidRDefault="000C41C5" w:rsidP="000C41C5">
      <w:pPr>
        <w:keepNext/>
      </w:pPr>
      <w:r>
        <w:rPr>
          <w:noProof/>
        </w:rPr>
        <w:drawing>
          <wp:inline distT="0" distB="0" distL="0" distR="0" wp14:anchorId="16D64D8C" wp14:editId="17BF0BCE">
            <wp:extent cx="5943600" cy="4754880"/>
            <wp:effectExtent l="0" t="0" r="0" b="7620"/>
            <wp:docPr id="20484496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964" name="Picture 1" descr="A map of the united states&#10;&#10;Description automatically generated"/>
                    <pic:cNvPicPr/>
                  </pic:nvPicPr>
                  <pic:blipFill>
                    <a:blip r:embed="rId4"/>
                    <a:stretch>
                      <a:fillRect/>
                    </a:stretch>
                  </pic:blipFill>
                  <pic:spPr>
                    <a:xfrm>
                      <a:off x="0" y="0"/>
                      <a:ext cx="5943600" cy="4754880"/>
                    </a:xfrm>
                    <a:prstGeom prst="rect">
                      <a:avLst/>
                    </a:prstGeom>
                  </pic:spPr>
                </pic:pic>
              </a:graphicData>
            </a:graphic>
          </wp:inline>
        </w:drawing>
      </w:r>
    </w:p>
    <w:p w14:paraId="26A0A98A" w14:textId="1E103B4D" w:rsidR="000C41C5" w:rsidRDefault="000C41C5" w:rsidP="000C41C5">
      <w:pPr>
        <w:pStyle w:val="Caption"/>
      </w:pPr>
      <w:r>
        <w:t>Figure S</w:t>
      </w:r>
      <w:r>
        <w:fldChar w:fldCharType="begin"/>
      </w:r>
      <w:r>
        <w:instrText xml:space="preserve"> SEQ Figure \* ARABIC </w:instrText>
      </w:r>
      <w:r>
        <w:fldChar w:fldCharType="separate"/>
      </w:r>
      <w:r w:rsidR="00C9407F">
        <w:rPr>
          <w:noProof/>
        </w:rPr>
        <w:t>1</w:t>
      </w:r>
      <w:r>
        <w:fldChar w:fldCharType="end"/>
      </w:r>
      <w:r>
        <w:t xml:space="preserve">.  Locations of routes contributing to continental trend analysis of Blackpoll Warbler between 2000 and 2018.  USGS analytical strata are overlaid.  </w:t>
      </w:r>
    </w:p>
    <w:p w14:paraId="099C0251" w14:textId="7DD13DA4" w:rsidR="00C9407F" w:rsidRDefault="00C9407F"/>
    <w:p w14:paraId="3B7ADEE5" w14:textId="4E7FBE3C" w:rsidR="000C41C5" w:rsidRDefault="000C41C5">
      <w:r>
        <w:t>The estimated Blackpoll Warbler continental trajectory for the period of 2000-2018 is illustrated in figure S</w:t>
      </w:r>
      <w:r w:rsidR="00C9407F">
        <w:t>2</w:t>
      </w:r>
      <w:r>
        <w:t>.</w:t>
      </w:r>
    </w:p>
    <w:p w14:paraId="5924C702" w14:textId="77777777" w:rsidR="000C41C5" w:rsidRDefault="000C41C5" w:rsidP="000C41C5">
      <w:pPr>
        <w:keepNext/>
      </w:pPr>
      <w:r>
        <w:rPr>
          <w:noProof/>
        </w:rPr>
        <w:lastRenderedPageBreak/>
        <w:drawing>
          <wp:inline distT="0" distB="0" distL="0" distR="0" wp14:anchorId="69DC4FCB" wp14:editId="0277A5AB">
            <wp:extent cx="3914775" cy="2936081"/>
            <wp:effectExtent l="0" t="0" r="0" b="0"/>
            <wp:docPr id="1071709602" name="Picture 1" descr="A graph of a graph showing the growth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9602" name="Picture 1" descr="A graph of a graph showing the growth of a country&#10;&#10;Description automatically generated with medium confidence"/>
                    <pic:cNvPicPr/>
                  </pic:nvPicPr>
                  <pic:blipFill>
                    <a:blip r:embed="rId5"/>
                    <a:stretch>
                      <a:fillRect/>
                    </a:stretch>
                  </pic:blipFill>
                  <pic:spPr>
                    <a:xfrm>
                      <a:off x="0" y="0"/>
                      <a:ext cx="3915831" cy="2936873"/>
                    </a:xfrm>
                    <a:prstGeom prst="rect">
                      <a:avLst/>
                    </a:prstGeom>
                  </pic:spPr>
                </pic:pic>
              </a:graphicData>
            </a:graphic>
          </wp:inline>
        </w:drawing>
      </w:r>
    </w:p>
    <w:p w14:paraId="1A052423" w14:textId="4A1DC043" w:rsidR="000C41C5" w:rsidRDefault="000C41C5" w:rsidP="000C41C5">
      <w:pPr>
        <w:pStyle w:val="Caption"/>
      </w:pPr>
      <w:r>
        <w:t>Figure S</w:t>
      </w:r>
      <w:r>
        <w:fldChar w:fldCharType="begin"/>
      </w:r>
      <w:r>
        <w:instrText xml:space="preserve"> SEQ Figure \* ARABIC </w:instrText>
      </w:r>
      <w:r>
        <w:fldChar w:fldCharType="separate"/>
      </w:r>
      <w:r w:rsidR="00C9407F">
        <w:rPr>
          <w:noProof/>
        </w:rPr>
        <w:t>2</w:t>
      </w:r>
      <w:r>
        <w:fldChar w:fldCharType="end"/>
      </w:r>
      <w:r>
        <w:t>. Estimated continental trajectory of Blackpoll Warbler from 2000 to 2018 based on analysis of Breeding Bird Survey.</w:t>
      </w:r>
    </w:p>
    <w:p w14:paraId="25031BBA" w14:textId="77777777" w:rsidR="000C41C5" w:rsidRDefault="000C41C5"/>
    <w:p w14:paraId="13DFA1DE" w14:textId="4EB49660" w:rsidR="00C9407F" w:rsidRDefault="00C9407F">
      <w:r>
        <w:t xml:space="preserve">The estimated trajectories of Blackpoll Warbler in eastern and western BBS strata are illustrated in Figures S3 and S4.  Regional estimates were generated by aggregating area-weighted annual indices within USGS analytical strata, which were grouped in “east” and “west” categories based on geographic overlap with the corresponding strata used in migration analysis (see Figure S1).  Methods for estimating trajectories within custom strata are described by Edwards and Smith (2020) and example code is available on </w:t>
      </w:r>
      <w:r w:rsidRPr="00C9407F">
        <w:t>https://github.com/bbsBayes/bbsBayes</w:t>
      </w:r>
      <w:r>
        <w:t>.</w:t>
      </w:r>
    </w:p>
    <w:p w14:paraId="3933F259" w14:textId="77777777" w:rsidR="00C9407F" w:rsidRDefault="00C9407F" w:rsidP="00C9407F">
      <w:pPr>
        <w:keepNext/>
      </w:pPr>
      <w:r>
        <w:rPr>
          <w:noProof/>
        </w:rPr>
        <w:drawing>
          <wp:inline distT="0" distB="0" distL="0" distR="0" wp14:anchorId="24D376CD" wp14:editId="6A30822D">
            <wp:extent cx="5943600" cy="2971800"/>
            <wp:effectExtent l="0" t="0" r="0" b="0"/>
            <wp:docPr id="55615173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1733" name="Picture 1" descr="A graph of a graph of a graph of a graph of a graph of a graph of a graph of a graph of a graph of a graph of a graph of a graph of a graph of&#10;&#10;Description automatically generated"/>
                    <pic:cNvPicPr/>
                  </pic:nvPicPr>
                  <pic:blipFill>
                    <a:blip r:embed="rId6"/>
                    <a:stretch>
                      <a:fillRect/>
                    </a:stretch>
                  </pic:blipFill>
                  <pic:spPr>
                    <a:xfrm>
                      <a:off x="0" y="0"/>
                      <a:ext cx="5943600" cy="2971800"/>
                    </a:xfrm>
                    <a:prstGeom prst="rect">
                      <a:avLst/>
                    </a:prstGeom>
                  </pic:spPr>
                </pic:pic>
              </a:graphicData>
            </a:graphic>
          </wp:inline>
        </w:drawing>
      </w:r>
    </w:p>
    <w:p w14:paraId="1BA78F6F" w14:textId="00F9BD57" w:rsidR="000C41C5" w:rsidRDefault="00C9407F" w:rsidP="00C9407F">
      <w:pPr>
        <w:pStyle w:val="Caption"/>
      </w:pPr>
      <w:r>
        <w:t>Figure S</w:t>
      </w:r>
      <w:r>
        <w:fldChar w:fldCharType="begin"/>
      </w:r>
      <w:r>
        <w:instrText xml:space="preserve"> SEQ Figure \* ARABIC </w:instrText>
      </w:r>
      <w:r>
        <w:fldChar w:fldCharType="separate"/>
      </w:r>
      <w:r>
        <w:rPr>
          <w:noProof/>
        </w:rPr>
        <w:t>3</w:t>
      </w:r>
      <w:r>
        <w:fldChar w:fldCharType="end"/>
      </w:r>
      <w:r>
        <w:t xml:space="preserve">. </w:t>
      </w:r>
      <w:r>
        <w:t xml:space="preserve">Estimated </w:t>
      </w:r>
      <w:r>
        <w:t>population</w:t>
      </w:r>
      <w:r>
        <w:t xml:space="preserve"> trajector</w:t>
      </w:r>
      <w:r>
        <w:t>ies</w:t>
      </w:r>
      <w:r>
        <w:t xml:space="preserve"> of Blackpoll Warbler from 2000 to 2018 based on analysis of Breeding Bird Survey</w:t>
      </w:r>
      <w:r>
        <w:t>, by aggregating estimated annual indices in “eastern” and “western” strata</w:t>
      </w:r>
      <w:r>
        <w:t>.</w:t>
      </w:r>
      <w:r w:rsidR="000C41C5">
        <w:br w:type="page"/>
      </w:r>
    </w:p>
    <w:p w14:paraId="3EDBDC2A" w14:textId="422B8C06" w:rsidR="000C41C5" w:rsidRPr="000C41C5" w:rsidRDefault="000C41C5">
      <w:pPr>
        <w:rPr>
          <w:b/>
          <w:bCs/>
          <w:sz w:val="28"/>
          <w:szCs w:val="28"/>
        </w:rPr>
      </w:pPr>
      <w:r w:rsidRPr="000C41C5">
        <w:rPr>
          <w:b/>
          <w:bCs/>
          <w:sz w:val="28"/>
          <w:szCs w:val="28"/>
        </w:rPr>
        <w:lastRenderedPageBreak/>
        <w:t xml:space="preserve">Appendix 3: Simulations to confirm that the migration model can accurately recover trends within </w:t>
      </w:r>
      <w:proofErr w:type="gramStart"/>
      <w:r w:rsidRPr="000C41C5">
        <w:rPr>
          <w:b/>
          <w:bCs/>
          <w:sz w:val="28"/>
          <w:szCs w:val="28"/>
        </w:rPr>
        <w:t>strata</w:t>
      </w:r>
      <w:proofErr w:type="gramEnd"/>
    </w:p>
    <w:p w14:paraId="2CBC78B6" w14:textId="77777777" w:rsidR="000C41C5" w:rsidRDefault="000C41C5"/>
    <w:p w14:paraId="39DA04B6" w14:textId="77777777" w:rsidR="000C41C5" w:rsidRDefault="000C41C5"/>
    <w:p w14:paraId="7A0F671C" w14:textId="77777777" w:rsidR="000C41C5" w:rsidRDefault="000C41C5"/>
    <w:sectPr w:rsidR="000C41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C5"/>
    <w:rsid w:val="000C41C5"/>
    <w:rsid w:val="0012734E"/>
    <w:rsid w:val="00673C67"/>
    <w:rsid w:val="008A3529"/>
    <w:rsid w:val="00BC0CD1"/>
    <w:rsid w:val="00C9407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728DE"/>
  <w15:chartTrackingRefBased/>
  <w15:docId w15:val="{5A29B675-F7BF-4FE8-A806-26B31C423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C41C5"/>
    <w:pPr>
      <w:spacing w:after="200" w:line="240" w:lineRule="auto"/>
    </w:pPr>
    <w:rPr>
      <w:i/>
      <w:iCs/>
      <w:color w:val="44546A" w:themeColor="text2"/>
      <w:kern w:val="0"/>
      <w:sz w:val="18"/>
      <w:szCs w:val="18"/>
      <w:lang w:val="en-US"/>
      <w14:ligatures w14:val="none"/>
    </w:rPr>
  </w:style>
  <w:style w:type="table" w:styleId="TableGrid">
    <w:name w:val="Table Grid"/>
    <w:basedOn w:val="TableNormal"/>
    <w:uiPriority w:val="39"/>
    <w:rsid w:val="000C41C5"/>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273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001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4</Pages>
  <Words>396</Words>
  <Characters>2258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Iles</dc:creator>
  <cp:keywords/>
  <dc:description/>
  <cp:lastModifiedBy>Dave Iles</cp:lastModifiedBy>
  <cp:revision>2</cp:revision>
  <dcterms:created xsi:type="dcterms:W3CDTF">2023-09-25T18:06:00Z</dcterms:created>
  <dcterms:modified xsi:type="dcterms:W3CDTF">2023-09-25T18:47:00Z</dcterms:modified>
</cp:coreProperties>
</file>